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beforeLines="50" w:after="143" w:afterLines="50"/>
        <w:jc w:val="both"/>
        <w:rPr>
          <w:rFonts w:hint="eastAsia" w:ascii="仿宋_GB2312" w:hAnsi="仿宋_GB2312" w:eastAsia="方正小标宋简体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  <w:t>洪涝灾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  <w:lang w:eastAsia="zh-CN"/>
        </w:rPr>
        <w:t>区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  <w:t>农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  <w:lang w:eastAsia="zh-CN"/>
        </w:rPr>
        <w:t>村住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  <w:t>房安全应急评估指南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  <w:lang w:eastAsia="zh-CN"/>
        </w:rPr>
        <w:t>（暂行）</w:t>
      </w:r>
    </w:p>
    <w:p>
      <w:pPr>
        <w:jc w:val="center"/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</w:pPr>
      <w:bookmarkStart w:id="2" w:name="_GoBack"/>
      <w:bookmarkEnd w:id="2"/>
    </w:p>
    <w:p>
      <w:pPr>
        <w:jc w:val="center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总则</w:t>
      </w:r>
    </w:p>
    <w:p>
      <w:pPr>
        <w:spacing w:line="360" w:lineRule="auto"/>
        <w:ind w:firstLine="643" w:firstLineChars="200"/>
        <w:rPr>
          <w:rFonts w:ascii="Times New Roman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第一条</w:t>
      </w:r>
      <w:r>
        <w:rPr>
          <w:rFonts w:hint="eastAsia" w:ascii="Times New Roman" w:hAnsi="仿宋_GB2312" w:eastAsia="仿宋_GB2312"/>
          <w:b w:val="0"/>
          <w:bCs w:val="0"/>
          <w:color w:val="auto"/>
          <w:sz w:val="32"/>
          <w:szCs w:val="32"/>
        </w:rPr>
        <w:t xml:space="preserve"> 为指导洪涝灾区</w:t>
      </w:r>
      <w:r>
        <w:rPr>
          <w:rFonts w:hint="eastAsia" w:ascii="Times New Roman" w:hAnsi="仿宋_GB2312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仿宋_GB2312" w:eastAsia="仿宋_GB2312"/>
          <w:b w:val="0"/>
          <w:bCs w:val="0"/>
          <w:color w:val="auto"/>
          <w:sz w:val="32"/>
          <w:szCs w:val="32"/>
        </w:rPr>
        <w:t>安全应急评估，快速评判灾后农村群众能否返家居住或必须过渡安置的问题，制定本指南。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第二条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本指南适用于遭受洪涝灾害破坏的自住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的安全应急评估。包括所有遭受洪水冲击、浸泡或短时间进水的自住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，及由于灾区地质隐患影响、安全受到威胁的自住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用于经营的农村房屋应由专业机构进行安全性鉴定。</w:t>
      </w:r>
    </w:p>
    <w:p>
      <w:pPr>
        <w:spacing w:line="360" w:lineRule="auto"/>
        <w:ind w:firstLine="643" w:firstLineChars="200"/>
        <w:rPr>
          <w:rFonts w:ascii="Times New Roman" w:hAnsi="Times New Roman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第三条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根据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安全应急评估结论，遭受洪涝灾害的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可以简单分为两类：“可以居住”与“不可以居住”。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“可以居住”类，是指经过应急评估，场地安全、地基稳定、主体结构安全，不需修理或经简单维护后即可入住的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对于“可以居住”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房屋，农户在返家入住后，应注意观察，一旦发现有安全方面的异常情况，应立即撤出并报告“村两委”和乡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政府，乡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政府应组织技术力量进行核查，及时消除隐患。县级住房和城乡建设部门给予技术指导和支持。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（2）“不可以居住”类，是指经过应急评估，地基或主体结构出现安全隐患，或所在区域、地段出现地质隐患的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对于“不可以居住”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房屋，除明显倒塌或严重受损且不具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备加固修复价值的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外，其余房屋应做进一步的安全性鉴定</w:t>
      </w:r>
      <w:bookmarkStart w:id="0" w:name="_Hlk79574677"/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，根据鉴定结果采取相应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改造或加固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措施。</w:t>
      </w:r>
    </w:p>
    <w:bookmarkEnd w:id="0"/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第四条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洪涝灾区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安全应急评估过程中，如发现存在本指南未提及的其他异常情况或安全隐患的，应及时上报，由县级住房和城乡建设部门组织技术力量予以进一步核查。</w:t>
      </w:r>
    </w:p>
    <w:p>
      <w:pPr>
        <w:jc w:val="center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基本规定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第五条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洪涝灾区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安全应急评估应由乡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镇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政府组织专业技术人员、团队实施。工作开展前，</w:t>
      </w:r>
      <w:bookmarkStart w:id="1" w:name="_Hlk79576521"/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县级住房和城乡建设部门应</w:t>
      </w:r>
      <w:bookmarkEnd w:id="1"/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组织相关人员进行技术培训。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第六条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洪涝灾区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安全应急评估应逐门入户进行。现场工作包括：场地安全评估、地基基础安全评估、上部结构安全评估。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第七条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根据分项评估结果与下表，给出洪涝灾区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安全应急评估初步结论。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3" w:firstLineChars="200"/>
        <w:jc w:val="center"/>
        <w:textAlignment w:val="auto"/>
        <w:outlineLvl w:val="9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灾区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农村住房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安全应急评估判定标准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379"/>
        <w:gridCol w:w="282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tblHeader/>
          <w:jc w:val="center"/>
        </w:trPr>
        <w:tc>
          <w:tcPr>
            <w:tcW w:w="200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房屋类型</w:t>
            </w:r>
          </w:p>
        </w:tc>
        <w:tc>
          <w:tcPr>
            <w:tcW w:w="33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判定标准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处理建议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可以居住</w:t>
            </w:r>
          </w:p>
        </w:tc>
        <w:tc>
          <w:tcPr>
            <w:tcW w:w="3379" w:type="dxa"/>
            <w:noWrap w:val="0"/>
            <w:vAlign w:val="center"/>
          </w:tcPr>
          <w:p>
            <w:pPr>
              <w:spacing w:line="32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未发现安全隐患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可以不做处理或简单维护；可以返家入住；继续观察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不可以居住</w:t>
            </w:r>
          </w:p>
        </w:tc>
        <w:tc>
          <w:tcPr>
            <w:tcW w:w="33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存在1项以上安全隐患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暂时不可以返家入住；部分房屋需进一步做安全性鉴定</w:t>
            </w:r>
          </w:p>
        </w:tc>
      </w:tr>
    </w:tbl>
    <w:p>
      <w:pPr>
        <w:spacing w:before="287" w:beforeLines="100"/>
        <w:jc w:val="center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安全应急评估技术要点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第八条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处于以下地段的房屋，存在场地安全隐患：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（1）场地紧靠山体或崖体，已经出现滑坡或有滑坡迹象；或场地出现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泥石流、崩塌等地质灾害隐患。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（2）场地出现地陷、地裂、大范围地下空洞、塌方等现象。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（3）场地位于河漫滩，或行洪、分洪和退洪口门附近，受到洪水直接威胁。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第九条</w:t>
      </w:r>
      <w:r>
        <w:rPr>
          <w:rFonts w:hint="eastAsia" w:ascii="Times New Roman" w:hAnsi="仿宋_GB2312" w:eastAsia="仿宋_GB2312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房屋地基基础出现以下状况，视为存在安全隐患：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（1）地基出现滑移，且存在发展迹象。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（2）基础底部持力土层流失，基础部分悬空或局部破坏。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（3）地基出现严重不均匀沉降，房屋出现肉眼可见的明显歪斜。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color w:val="auto"/>
          <w:sz w:val="32"/>
          <w:szCs w:val="32"/>
        </w:rPr>
        <w:t>第十条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房屋上部结构出现以下状况，视为存在安全隐患：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（1）位于洪水淹没区或径流区，淹没或径流水位在房屋室内地坪以上的土木结构房屋、泥浆砌筑的砖木、石木结构房屋及土窑洞。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（2）洪水浸泡4小时以上的白灰砂浆砌筑且没有水泥砂浆抹面或勾缝的砖木结构、砖混结构房屋。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（3）承重墙体出现明显裂缝（单条宽度大于10mm的裂缝，或多条宽度大于5mm的裂缝），纵横墙交接处出现贯通性裂缝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或墙体出现肉眼可见的歪斜现象。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（4）承重墙体根部出现严重溃烂或剥蚀。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（5）承重墙体局部倒塌。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（6）独立承重砖柱出现宽度大于1.5mm的裂缝，或有断裂、错位迹象。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（7）楼（屋）面出现变形或局部坍塌；楼（屋）面承重大梁、屋架、楼板等在墙体顶部支座处出现滑动、侧翻、失稳等现象。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（8）承重木构件（木柱、木梁、木屋架、木檩）已严重腐朽，有断裂或失效危险；木构件在洪水作用下移位或偏离支座。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（9）承重混凝土构件（柱、梁、板）表面严重剥蚀、开裂，钢筋锈蚀，有断裂或失效危险。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（10）砖窑或石窑，边窑腿出现明显外闪；或窑顶出现纵向裂缝；或窑脸严重外闪，有倒塌危险。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（11）钢结构受力构件（柱、梁、屋架等）受到洪水冲击或杂物撞击，出现明显变形或屈曲；或钢结构主要连接节点失效。</w:t>
      </w:r>
    </w:p>
    <w:p>
      <w:pPr>
        <w:wordWrap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991E2-6AB6-466A-A331-E930104726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CEE868-711A-4E9D-A24C-A73139892563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D0D715D-1BF2-4AF4-AF19-53B4E892F6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B159F3-C183-46E0-9F78-328CCB32EC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6D8431F-35CC-4207-B98E-F01F8F70A9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-609600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TAUrzTAAAACAEAAA8AAAAAAAAA&#10;AQAgAAAAIgAAAGRycy9kb3ducmV2LnhtbFBLAQIUABQAAAAIAIdO4kBERFAp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B9AF"/>
    <w:rsid w:val="005C5376"/>
    <w:rsid w:val="042F4481"/>
    <w:rsid w:val="0ACC456A"/>
    <w:rsid w:val="0DC9383B"/>
    <w:rsid w:val="166609D3"/>
    <w:rsid w:val="16F9760F"/>
    <w:rsid w:val="3BC859E5"/>
    <w:rsid w:val="3D7F51ED"/>
    <w:rsid w:val="3E3428B5"/>
    <w:rsid w:val="3ECE2439"/>
    <w:rsid w:val="4B2F3165"/>
    <w:rsid w:val="4FFE1451"/>
    <w:rsid w:val="532D0987"/>
    <w:rsid w:val="5BD704B6"/>
    <w:rsid w:val="5F3D8693"/>
    <w:rsid w:val="5FDF8621"/>
    <w:rsid w:val="6A22609A"/>
    <w:rsid w:val="6CCFEF8B"/>
    <w:rsid w:val="6D6B7F8C"/>
    <w:rsid w:val="6F1E73E0"/>
    <w:rsid w:val="7A021F1A"/>
    <w:rsid w:val="7B622C1E"/>
    <w:rsid w:val="7BDBB9AF"/>
    <w:rsid w:val="7D5E50A2"/>
    <w:rsid w:val="7D9B1DC9"/>
    <w:rsid w:val="7DBFF71B"/>
    <w:rsid w:val="7DC72DD3"/>
    <w:rsid w:val="7F9E76A6"/>
    <w:rsid w:val="BB6740E7"/>
    <w:rsid w:val="BEEAE3DE"/>
    <w:rsid w:val="BF4B6322"/>
    <w:rsid w:val="BFF3C698"/>
    <w:rsid w:val="D7B602B1"/>
    <w:rsid w:val="DFFF9C29"/>
    <w:rsid w:val="E563E190"/>
    <w:rsid w:val="E7E17A7F"/>
    <w:rsid w:val="EFB75282"/>
    <w:rsid w:val="FE50E7C6"/>
    <w:rsid w:val="FF559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2021-08-27T10:03:00Z</dcterms:created>
  <dc:creator>贺旺:会签司局承办处室</dc:creator>
  <cp:lastModifiedBy>小绿人同学</cp:lastModifiedBy>
  <cp:lastPrinted>2021-09-01T03:22:00Z</cp:lastPrinted>
  <dcterms:modified xsi:type="dcterms:W3CDTF">2021-09-02T08:10:17Z</dcterms:modified>
  <dc:title>住房和城乡建设部办公厅关于印发《洪涝灾害农房安全应急预案（暂行）》和《洪涝灾区农房安全应急评估指南（暂行）》的通知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183577B250924D2FA1A893F96EDDA892</vt:lpwstr>
  </property>
</Properties>
</file>