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FFFF"/>
          <w:sz w:val="28"/>
          <w:szCs w:val="28"/>
        </w:rPr>
      </w:pPr>
    </w:p>
    <w:p>
      <w:pPr>
        <w:jc w:val="center"/>
        <w:rPr>
          <w:rFonts w:hint="eastAsia" w:eastAsia="宋体"/>
          <w:b/>
          <w:sz w:val="32"/>
          <w:szCs w:val="32"/>
          <w:lang w:eastAsia="zh-CN"/>
        </w:rPr>
      </w:pPr>
      <w:r>
        <w:rPr>
          <w:rFonts w:hint="eastAsia"/>
          <w:b/>
          <w:sz w:val="32"/>
          <w:szCs w:val="32"/>
        </w:rPr>
        <w:t>广西先进监理单位评选办法</w:t>
      </w:r>
      <w:r>
        <w:rPr>
          <w:rFonts w:hint="eastAsia"/>
          <w:b/>
          <w:sz w:val="32"/>
          <w:szCs w:val="32"/>
          <w:lang w:eastAsia="zh-CN"/>
        </w:rPr>
        <w:t>（</w:t>
      </w:r>
      <w:r>
        <w:rPr>
          <w:rFonts w:hint="eastAsia"/>
          <w:b/>
          <w:sz w:val="32"/>
          <w:szCs w:val="32"/>
          <w:lang w:val="en-US" w:eastAsia="zh-CN"/>
        </w:rPr>
        <w:t>2020年版</w:t>
      </w:r>
      <w:r>
        <w:rPr>
          <w:rFonts w:hint="eastAsia"/>
          <w:b/>
          <w:sz w:val="32"/>
          <w:szCs w:val="32"/>
          <w:lang w:eastAsia="zh-CN"/>
        </w:rPr>
        <w:t>）</w:t>
      </w:r>
    </w:p>
    <w:p>
      <w:pPr>
        <w:spacing w:line="520" w:lineRule="exact"/>
        <w:rPr>
          <w:rFonts w:ascii="宋体"/>
          <w:b/>
          <w:bCs/>
          <w:sz w:val="28"/>
          <w:szCs w:val="28"/>
        </w:rPr>
      </w:pPr>
    </w:p>
    <w:p>
      <w:pPr>
        <w:spacing w:line="360" w:lineRule="auto"/>
        <w:ind w:firstLine="560" w:firstLineChars="200"/>
        <w:rPr>
          <w:rFonts w:ascii="宋体"/>
          <w:color w:val="000000"/>
          <w:sz w:val="28"/>
          <w:szCs w:val="28"/>
        </w:rPr>
      </w:pPr>
      <w:r>
        <w:rPr>
          <w:rFonts w:hint="eastAsia" w:ascii="宋体"/>
          <w:color w:val="000000"/>
          <w:sz w:val="28"/>
          <w:szCs w:val="28"/>
        </w:rPr>
        <w:t>第一条  为了提高广西建设工程监理水平，激励各监理企业争创先进，树立“监理品牌”形象，经广西建设监理协会研究决定，开展评选广西先进监理单位活动，特制定本评选办法。</w:t>
      </w:r>
    </w:p>
    <w:p>
      <w:pPr>
        <w:spacing w:line="360" w:lineRule="auto"/>
        <w:ind w:firstLine="560" w:firstLineChars="200"/>
        <w:rPr>
          <w:rFonts w:ascii="宋体"/>
          <w:color w:val="000000"/>
          <w:sz w:val="28"/>
          <w:szCs w:val="28"/>
        </w:rPr>
      </w:pPr>
      <w:r>
        <w:rPr>
          <w:rFonts w:hint="eastAsia" w:ascii="宋体"/>
          <w:color w:val="000000"/>
          <w:sz w:val="28"/>
          <w:szCs w:val="28"/>
        </w:rPr>
        <w:t>第二条 广西先进监理单位评选，由广西建设监理协会组织。</w:t>
      </w:r>
    </w:p>
    <w:p>
      <w:pPr>
        <w:spacing w:line="360" w:lineRule="auto"/>
        <w:ind w:firstLine="560" w:firstLineChars="200"/>
        <w:jc w:val="left"/>
        <w:rPr>
          <w:rFonts w:ascii="宋体" w:hAnsi="宋体"/>
          <w:sz w:val="28"/>
          <w:szCs w:val="28"/>
        </w:rPr>
      </w:pPr>
      <w:r>
        <w:rPr>
          <w:rFonts w:hint="eastAsia" w:ascii="宋体"/>
          <w:color w:val="000000"/>
          <w:sz w:val="28"/>
          <w:szCs w:val="28"/>
        </w:rPr>
        <w:t>第三条  先进监理单位奖的评选范围</w:t>
      </w:r>
    </w:p>
    <w:p>
      <w:pPr>
        <w:spacing w:line="360" w:lineRule="auto"/>
        <w:ind w:firstLine="560" w:firstLineChars="200"/>
        <w:jc w:val="left"/>
        <w:rPr>
          <w:rFonts w:ascii="宋体" w:hAnsi="宋体"/>
          <w:sz w:val="28"/>
          <w:szCs w:val="28"/>
        </w:rPr>
      </w:pPr>
      <w:r>
        <w:rPr>
          <w:rFonts w:hint="eastAsia" w:ascii="宋体"/>
          <w:color w:val="000000"/>
          <w:sz w:val="28"/>
          <w:szCs w:val="28"/>
        </w:rPr>
        <w:t>凡在广西区域内从事工程建设监理业务的广西建设监理协会会员单位且同时符合以下条件的均可申报参评:</w:t>
      </w:r>
    </w:p>
    <w:p>
      <w:pPr>
        <w:spacing w:line="560" w:lineRule="exact"/>
        <w:ind w:firstLine="537" w:firstLineChars="192"/>
        <w:rPr>
          <w:rFonts w:ascii="宋体" w:hAnsi="宋体"/>
          <w:sz w:val="28"/>
          <w:szCs w:val="28"/>
        </w:rPr>
      </w:pPr>
      <w:r>
        <w:rPr>
          <w:rFonts w:hint="eastAsia" w:ascii="宋体" w:hAnsi="宋体"/>
          <w:sz w:val="28"/>
          <w:szCs w:val="28"/>
        </w:rPr>
        <w:t>1、考核年度内认真执行国家及广西有关法律法规、方针政策和标准规范，</w:t>
      </w:r>
      <w:r>
        <w:rPr>
          <w:color w:val="000000"/>
          <w:sz w:val="28"/>
          <w:szCs w:val="28"/>
          <w:shd w:val="clear" w:color="auto" w:fill="FFFFFF"/>
        </w:rPr>
        <w:t>未发生有监理责任较大安全事故的</w:t>
      </w:r>
      <w:r>
        <w:rPr>
          <w:rFonts w:hint="eastAsia" w:ascii="宋体" w:hAnsi="宋体"/>
          <w:color w:val="000000"/>
          <w:sz w:val="28"/>
          <w:szCs w:val="28"/>
        </w:rPr>
        <w:t>（在广西建设网上查询）。</w:t>
      </w:r>
    </w:p>
    <w:p>
      <w:pPr>
        <w:spacing w:line="560" w:lineRule="exact"/>
        <w:ind w:firstLine="537" w:firstLineChars="192"/>
        <w:rPr>
          <w:rFonts w:ascii="宋体" w:hAnsi="宋体"/>
          <w:sz w:val="28"/>
          <w:szCs w:val="28"/>
        </w:rPr>
      </w:pPr>
      <w:r>
        <w:rPr>
          <w:rFonts w:hint="eastAsia" w:ascii="宋体" w:hAnsi="宋体"/>
          <w:sz w:val="28"/>
          <w:szCs w:val="28"/>
        </w:rPr>
        <w:t>2、市场行为规范，坚持公平竞争，维护行业信誉，自觉遵守监理行业自律公约，起到先进表率作用，在本地区或本行业享有较高声誉</w:t>
      </w:r>
      <w:r>
        <w:rPr>
          <w:rFonts w:hint="eastAsia" w:ascii="宋体" w:hAnsi="宋体"/>
          <w:color w:val="000000"/>
          <w:sz w:val="28"/>
          <w:szCs w:val="28"/>
        </w:rPr>
        <w:t>。</w:t>
      </w:r>
    </w:p>
    <w:p>
      <w:pPr>
        <w:spacing w:line="560" w:lineRule="exact"/>
        <w:ind w:firstLine="537" w:firstLineChars="192"/>
        <w:rPr>
          <w:rFonts w:ascii="宋体" w:hAnsi="宋体"/>
          <w:sz w:val="28"/>
          <w:szCs w:val="28"/>
        </w:rPr>
      </w:pPr>
      <w:r>
        <w:rPr>
          <w:rFonts w:hint="eastAsia" w:ascii="宋体" w:hAnsi="宋体"/>
          <w:sz w:val="28"/>
          <w:szCs w:val="28"/>
        </w:rPr>
        <w:t>3、企业管理规范，人事、劳动、分配等各项制度完善，财务管理、资料管理、岗位职责、人员培训等各项规章健全。</w:t>
      </w:r>
    </w:p>
    <w:p>
      <w:pPr>
        <w:spacing w:line="560" w:lineRule="exact"/>
        <w:ind w:firstLine="537" w:firstLineChars="192"/>
        <w:rPr>
          <w:rFonts w:ascii="宋体" w:hAnsi="宋体"/>
          <w:color w:val="000000"/>
          <w:sz w:val="28"/>
          <w:szCs w:val="28"/>
        </w:rPr>
      </w:pPr>
      <w:r>
        <w:rPr>
          <w:rFonts w:hint="eastAsia" w:ascii="宋体" w:hAnsi="宋体"/>
          <w:color w:val="000000"/>
          <w:sz w:val="28"/>
          <w:szCs w:val="28"/>
        </w:rPr>
        <w:t>4、加入本协会时间须满1年及以上。按时缴纳会费，</w:t>
      </w:r>
      <w:r>
        <w:rPr>
          <w:rFonts w:hint="eastAsia" w:ascii="宋体" w:hAnsi="宋体"/>
          <w:sz w:val="28"/>
          <w:szCs w:val="28"/>
        </w:rPr>
        <w:t>遵守协会章程，履行会员义务，支持协会工作，积极参加协会组织的活动。</w:t>
      </w:r>
    </w:p>
    <w:p>
      <w:pPr>
        <w:spacing w:line="560" w:lineRule="exact"/>
        <w:ind w:firstLine="537" w:firstLineChars="192"/>
        <w:rPr>
          <w:rFonts w:ascii="宋体" w:hAnsi="宋体"/>
          <w:sz w:val="28"/>
          <w:szCs w:val="28"/>
        </w:rPr>
      </w:pPr>
      <w:r>
        <w:rPr>
          <w:rFonts w:hint="eastAsia" w:ascii="宋体" w:hAnsi="宋体"/>
          <w:sz w:val="28"/>
          <w:szCs w:val="28"/>
        </w:rPr>
        <w:t>5、各项目监理机构人员专业配套，到岗到位，信守合同，服务良好，业主满意。企业该年度在广西区域内承担监理的工程至少获得1项主管部门认可的</w:t>
      </w:r>
      <w:r>
        <w:rPr>
          <w:rFonts w:hint="eastAsia" w:ascii="宋体" w:hAnsi="宋体"/>
          <w:color w:val="000000"/>
          <w:sz w:val="28"/>
          <w:szCs w:val="28"/>
        </w:rPr>
        <w:t>国家级（或自治区级）或2项市级优质工程奖；或2项国家级（或自治区级）施工安全文明标准化工地、施工安全文明标准化示范工地、安全文明诚信工地等。</w:t>
      </w:r>
      <w:bookmarkStart w:id="0" w:name="_GoBack"/>
      <w:bookmarkEnd w:id="0"/>
      <w:r>
        <w:rPr>
          <w:rFonts w:hint="eastAsia" w:ascii="宋体" w:hAnsi="宋体"/>
          <w:b/>
          <w:color w:val="000000"/>
          <w:sz w:val="28"/>
          <w:szCs w:val="28"/>
        </w:rPr>
        <w:t>（备注：1.国家级奖项以获奖文件的落款时间为准。2.区（市）奖项以奖状内容时间为准。）</w:t>
      </w:r>
    </w:p>
    <w:p>
      <w:pPr>
        <w:spacing w:line="560" w:lineRule="exact"/>
        <w:ind w:firstLine="537" w:firstLineChars="192"/>
        <w:rPr>
          <w:rFonts w:ascii="宋体" w:hAnsi="宋体"/>
          <w:color w:val="000000"/>
          <w:sz w:val="28"/>
          <w:szCs w:val="28"/>
        </w:rPr>
      </w:pPr>
      <w:r>
        <w:rPr>
          <w:rFonts w:hint="eastAsia" w:ascii="宋体" w:hAnsi="宋体"/>
          <w:color w:val="000000"/>
          <w:sz w:val="28"/>
          <w:szCs w:val="28"/>
        </w:rPr>
        <w:t>6、</w:t>
      </w:r>
      <w:r>
        <w:rPr>
          <w:rFonts w:hint="eastAsia" w:ascii="宋体" w:hAnsi="宋体"/>
          <w:bCs/>
          <w:color w:val="000000"/>
          <w:sz w:val="28"/>
          <w:szCs w:val="28"/>
        </w:rPr>
        <w:t>企业管理水平比较高，经济效益比较好，监理合同额、经营收入和人均产值位于本地区前列，</w:t>
      </w:r>
      <w:r>
        <w:rPr>
          <w:rFonts w:hint="eastAsia" w:ascii="宋体" w:hAnsi="宋体"/>
          <w:color w:val="000000"/>
          <w:sz w:val="28"/>
          <w:szCs w:val="28"/>
        </w:rPr>
        <w:t>本年度监理企业连续完成广西区域内营业收入：甲级及综合资质每年达</w:t>
      </w:r>
      <w:r>
        <w:rPr>
          <w:rFonts w:hint="eastAsia" w:ascii="宋体" w:hAnsi="宋体"/>
          <w:b/>
          <w:color w:val="000000"/>
          <w:sz w:val="28"/>
          <w:szCs w:val="28"/>
        </w:rPr>
        <w:t>1000万元</w:t>
      </w:r>
      <w:r>
        <w:rPr>
          <w:rFonts w:hint="eastAsia" w:ascii="宋体" w:hAnsi="宋体"/>
          <w:color w:val="000000"/>
          <w:sz w:val="28"/>
          <w:szCs w:val="28"/>
        </w:rPr>
        <w:t>及以上，乙级每年达到</w:t>
      </w:r>
      <w:r>
        <w:rPr>
          <w:rFonts w:hint="eastAsia" w:ascii="宋体" w:hAnsi="宋体"/>
          <w:b/>
          <w:color w:val="000000"/>
          <w:sz w:val="28"/>
          <w:szCs w:val="28"/>
        </w:rPr>
        <w:t>600万元</w:t>
      </w:r>
      <w:r>
        <w:rPr>
          <w:rFonts w:hint="eastAsia" w:ascii="宋体" w:hAnsi="宋体"/>
          <w:color w:val="000000"/>
          <w:sz w:val="28"/>
          <w:szCs w:val="28"/>
        </w:rPr>
        <w:t>及以上（依照每年企业上报工程监理统计报表数据及税票为准）。</w:t>
      </w:r>
    </w:p>
    <w:p>
      <w:pPr>
        <w:tabs>
          <w:tab w:val="left" w:pos="720"/>
          <w:tab w:val="left" w:pos="1260"/>
          <w:tab w:val="left" w:pos="1980"/>
        </w:tabs>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第四条 </w:t>
      </w:r>
      <w:r>
        <w:rPr>
          <w:rFonts w:hint="eastAsia" w:ascii="宋体"/>
          <w:color w:val="000000"/>
          <w:sz w:val="28"/>
          <w:szCs w:val="28"/>
        </w:rPr>
        <w:t xml:space="preserve">  评定办法和标准</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按附表1《</w:t>
      </w:r>
      <w:r>
        <w:rPr>
          <w:rFonts w:hint="eastAsia"/>
          <w:color w:val="000000"/>
          <w:sz w:val="28"/>
          <w:szCs w:val="28"/>
        </w:rPr>
        <w:t>广西先进监理单位考评表</w:t>
      </w:r>
      <w:r>
        <w:rPr>
          <w:rFonts w:hint="eastAsia" w:ascii="宋体" w:hAnsi="宋体"/>
          <w:color w:val="000000"/>
          <w:sz w:val="28"/>
          <w:szCs w:val="28"/>
        </w:rPr>
        <w:t>》对参评单位进行评比，按评定实得分从高到低进行排名和确定广西先进监理单位候选名单，评比结果在协会网站上公示一周并征求意见，如无实质性意见，则将最终确定为广西先进监理单位。</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第五条  广西先进监理单位申报和评选程序</w:t>
      </w:r>
    </w:p>
    <w:p>
      <w:pPr>
        <w:spacing w:line="360" w:lineRule="auto"/>
        <w:ind w:firstLine="570"/>
        <w:rPr>
          <w:rFonts w:ascii="宋体" w:hAnsi="宋体"/>
          <w:color w:val="000000"/>
          <w:sz w:val="28"/>
          <w:szCs w:val="28"/>
        </w:rPr>
      </w:pPr>
      <w:r>
        <w:rPr>
          <w:rFonts w:hint="eastAsia" w:ascii="宋体" w:hAnsi="宋体"/>
          <w:color w:val="000000"/>
          <w:sz w:val="28"/>
          <w:szCs w:val="28"/>
        </w:rPr>
        <w:t>1、申报材料</w:t>
      </w:r>
    </w:p>
    <w:p>
      <w:pPr>
        <w:spacing w:line="360" w:lineRule="auto"/>
        <w:ind w:firstLine="570"/>
        <w:rPr>
          <w:rFonts w:ascii="宋体" w:hAnsi="宋体"/>
          <w:color w:val="000000"/>
          <w:sz w:val="28"/>
          <w:szCs w:val="28"/>
        </w:rPr>
      </w:pPr>
      <w:r>
        <w:rPr>
          <w:rFonts w:hint="eastAsia" w:ascii="宋体" w:hAnsi="宋体"/>
          <w:color w:val="000000"/>
          <w:sz w:val="28"/>
          <w:szCs w:val="28"/>
        </w:rPr>
        <w:t>①填写《广西先进监理单位申报表》（附表1）一式一份；</w:t>
      </w:r>
    </w:p>
    <w:p>
      <w:pPr>
        <w:spacing w:line="360" w:lineRule="auto"/>
        <w:ind w:firstLine="570"/>
        <w:rPr>
          <w:rFonts w:ascii="宋体" w:hAnsi="宋体" w:cs="宋体"/>
          <w:color w:val="000000"/>
          <w:sz w:val="28"/>
          <w:szCs w:val="28"/>
        </w:rPr>
      </w:pPr>
      <w:r>
        <w:rPr>
          <w:rFonts w:hint="eastAsia" w:ascii="宋体" w:hAnsi="宋体" w:cs="宋体"/>
          <w:color w:val="000000"/>
          <w:sz w:val="28"/>
          <w:szCs w:val="28"/>
        </w:rPr>
        <w:t>②业绩奖项证明材料。（</w:t>
      </w:r>
      <w:r>
        <w:rPr>
          <w:rFonts w:hint="eastAsia" w:ascii="宋体" w:hAnsi="宋体" w:cs="宋体"/>
          <w:b/>
          <w:color w:val="000000"/>
          <w:sz w:val="28"/>
          <w:szCs w:val="28"/>
        </w:rPr>
        <w:t>国家级优质工程奖</w:t>
      </w:r>
      <w:r>
        <w:rPr>
          <w:rFonts w:hint="eastAsia" w:ascii="宋体" w:hAnsi="宋体" w:cs="宋体"/>
          <w:color w:val="000000"/>
          <w:sz w:val="28"/>
          <w:szCs w:val="28"/>
        </w:rPr>
        <w:t>包括：中国建筑业协会评选住房和城乡建设部颁发的“中国建设工程鲁班奖”、中国市政工程协会评选的“市政金杯示范工程奖”、国家工程质量奖审定委员会和中国施工企业管理协会评定的“国家优质工程奖”、中国土木工程学会评选的“詹天佑土木工程大奖”、中国建筑装饰协会评选的“中国建筑工程装饰奖”、中国安装协会评选的“中国安装工程优质奖（中国安装之星）”、</w:t>
      </w:r>
      <w:r>
        <w:rPr>
          <w:rFonts w:hint="eastAsia" w:ascii="宋体" w:hAnsi="宋体" w:cs="宋体"/>
          <w:b/>
          <w:color w:val="000000"/>
          <w:sz w:val="28"/>
          <w:szCs w:val="28"/>
        </w:rPr>
        <w:t>中国建筑金属结构协会评选的“中国钢结构金奖”</w:t>
      </w:r>
      <w:r>
        <w:rPr>
          <w:rFonts w:hint="eastAsia" w:ascii="宋体" w:hAnsi="宋体" w:cs="宋体"/>
          <w:color w:val="000000"/>
          <w:sz w:val="28"/>
          <w:szCs w:val="28"/>
        </w:rPr>
        <w:t>等各部委颁发的奖项。</w:t>
      </w:r>
      <w:r>
        <w:rPr>
          <w:rFonts w:hint="eastAsia" w:ascii="宋体" w:hAnsi="宋体" w:cs="宋体"/>
          <w:b/>
          <w:color w:val="000000"/>
          <w:sz w:val="28"/>
          <w:szCs w:val="28"/>
        </w:rPr>
        <w:t>国家级文明工地</w:t>
      </w:r>
      <w:r>
        <w:rPr>
          <w:rFonts w:hint="eastAsia" w:ascii="宋体" w:hAnsi="宋体" w:cs="宋体"/>
          <w:color w:val="000000"/>
          <w:sz w:val="28"/>
          <w:szCs w:val="28"/>
        </w:rPr>
        <w:t>包括：</w:t>
      </w:r>
      <w:r>
        <w:rPr>
          <w:rFonts w:hint="eastAsia" w:ascii="宋体" w:hAnsi="宋体" w:cs="宋体"/>
          <w:color w:val="333333"/>
          <w:sz w:val="28"/>
          <w:szCs w:val="28"/>
          <w:shd w:val="clear" w:color="auto" w:fill="FFFFFF"/>
        </w:rPr>
        <w:t>中国建筑业协会</w:t>
      </w:r>
      <w:r>
        <w:rPr>
          <w:rFonts w:hint="eastAsia" w:ascii="宋体" w:hAnsi="宋体" w:cs="宋体"/>
          <w:color w:val="000000"/>
          <w:sz w:val="28"/>
          <w:szCs w:val="28"/>
        </w:rPr>
        <w:t>评选的“建设工程项目施工安全生产标准化工地”等。</w:t>
      </w:r>
      <w:r>
        <w:rPr>
          <w:rFonts w:hint="eastAsia" w:ascii="宋体" w:hAnsi="宋体" w:cs="宋体"/>
          <w:b/>
          <w:color w:val="000000"/>
          <w:sz w:val="28"/>
          <w:szCs w:val="28"/>
        </w:rPr>
        <w:t>省（自治区）级优质工程奖</w:t>
      </w:r>
      <w:r>
        <w:rPr>
          <w:rFonts w:hint="eastAsia" w:ascii="宋体" w:hAnsi="宋体" w:cs="宋体"/>
          <w:color w:val="000000"/>
          <w:sz w:val="28"/>
          <w:szCs w:val="28"/>
        </w:rPr>
        <w:t>包括：广西建设工程真武阁杯奖、</w:t>
      </w:r>
      <w:r>
        <w:rPr>
          <w:rFonts w:hint="eastAsia" w:ascii="宋体" w:hAnsi="宋体" w:cs="宋体"/>
          <w:b/>
          <w:color w:val="000000"/>
          <w:sz w:val="28"/>
          <w:szCs w:val="28"/>
        </w:rPr>
        <w:t>广西钢结构金奖</w:t>
      </w:r>
      <w:r>
        <w:rPr>
          <w:rFonts w:hint="eastAsia" w:ascii="宋体" w:hAnsi="宋体" w:cs="宋体"/>
          <w:color w:val="000000"/>
          <w:sz w:val="28"/>
          <w:szCs w:val="28"/>
        </w:rPr>
        <w:t>以及广西工程建设质量安全协会评选的“广西优质工程奖”等。</w:t>
      </w:r>
      <w:r>
        <w:rPr>
          <w:rFonts w:hint="eastAsia" w:ascii="宋体" w:hAnsi="宋体" w:cs="宋体"/>
          <w:b/>
          <w:color w:val="000000"/>
          <w:sz w:val="28"/>
          <w:szCs w:val="28"/>
        </w:rPr>
        <w:t>省（自治区）级文明工地</w:t>
      </w:r>
      <w:r>
        <w:rPr>
          <w:rFonts w:hint="eastAsia" w:ascii="宋体" w:hAnsi="宋体" w:cs="宋体"/>
          <w:color w:val="000000"/>
          <w:sz w:val="28"/>
          <w:szCs w:val="28"/>
        </w:rPr>
        <w:t>包括：广西工程建设质量安全协会评选的“建筑施工安全文明标准化示范工地”、“安全文明工地奖”等。</w:t>
      </w:r>
      <w:r>
        <w:rPr>
          <w:rFonts w:hint="eastAsia" w:ascii="宋体" w:hAnsi="宋体" w:cs="宋体"/>
          <w:b/>
          <w:color w:val="000000"/>
          <w:sz w:val="28"/>
          <w:szCs w:val="28"/>
        </w:rPr>
        <w:t>地市级优质工程奖</w:t>
      </w:r>
      <w:r>
        <w:rPr>
          <w:rFonts w:hint="eastAsia" w:ascii="宋体" w:hAnsi="宋体" w:cs="宋体"/>
          <w:color w:val="000000"/>
          <w:sz w:val="28"/>
          <w:szCs w:val="28"/>
        </w:rPr>
        <w:t>包括：我区各地市建设主管部门评选的优质工程奖，如南宁市邕城杯、柳州龙城杯、桂林市桂花杯、贺州市麒麟尊杯(不包括市优质结构奖)。</w:t>
      </w:r>
      <w:r>
        <w:rPr>
          <w:rFonts w:hint="eastAsia" w:ascii="宋体" w:hAnsi="宋体" w:cs="宋体"/>
          <w:b/>
          <w:color w:val="000000"/>
          <w:sz w:val="28"/>
          <w:szCs w:val="28"/>
        </w:rPr>
        <w:t>地市级文明工地：</w:t>
      </w:r>
      <w:r>
        <w:rPr>
          <w:rFonts w:hint="eastAsia" w:ascii="宋体" w:hAnsi="宋体" w:cs="宋体"/>
          <w:bCs/>
          <w:color w:val="000000"/>
          <w:sz w:val="28"/>
          <w:szCs w:val="28"/>
        </w:rPr>
        <w:t>我区</w:t>
      </w:r>
      <w:r>
        <w:rPr>
          <w:rFonts w:hint="eastAsia" w:ascii="宋体" w:hAnsi="宋体" w:cs="宋体"/>
          <w:color w:val="000000"/>
          <w:sz w:val="28"/>
          <w:szCs w:val="28"/>
        </w:rPr>
        <w:t>各地市建设主管部门评选的安全文明工地等。</w:t>
      </w:r>
    </w:p>
    <w:p>
      <w:pPr>
        <w:spacing w:line="360" w:lineRule="auto"/>
        <w:ind w:firstLine="570"/>
        <w:rPr>
          <w:rFonts w:ascii="宋体" w:hAnsi="宋体" w:cs="宋体"/>
          <w:color w:val="000000"/>
          <w:sz w:val="28"/>
          <w:szCs w:val="28"/>
        </w:rPr>
      </w:pPr>
      <w:r>
        <w:rPr>
          <w:rFonts w:hint="eastAsia" w:ascii="宋体" w:hAnsi="宋体" w:cs="宋体"/>
          <w:color w:val="000000"/>
          <w:sz w:val="28"/>
          <w:szCs w:val="28"/>
        </w:rPr>
        <w:t xml:space="preserve">第六条 申报企业对材料真实性负责，如查实有隐瞒不报，或弄虚作假行为，取消其资格。 </w:t>
      </w:r>
    </w:p>
    <w:p>
      <w:pPr>
        <w:spacing w:line="360" w:lineRule="auto"/>
        <w:ind w:firstLine="570"/>
        <w:rPr>
          <w:rFonts w:ascii="宋体" w:hAnsi="宋体" w:cs="宋体"/>
          <w:color w:val="000000"/>
          <w:sz w:val="28"/>
          <w:szCs w:val="28"/>
        </w:rPr>
      </w:pPr>
      <w:r>
        <w:rPr>
          <w:rFonts w:hint="eastAsia" w:ascii="宋体" w:hAnsi="宋体" w:cs="宋体"/>
          <w:color w:val="000000"/>
          <w:sz w:val="28"/>
          <w:szCs w:val="28"/>
        </w:rPr>
        <w:t>第七条  本办法由广西建设监理协会负责解释，自颁布之日起实施</w:t>
      </w:r>
    </w:p>
    <w:p>
      <w:pPr>
        <w:spacing w:line="360" w:lineRule="auto"/>
        <w:ind w:firstLine="570"/>
        <w:rPr>
          <w:rFonts w:ascii="宋体" w:hAnsi="宋体" w:cs="宋体"/>
          <w:color w:val="000000"/>
          <w:sz w:val="28"/>
          <w:szCs w:val="28"/>
        </w:rPr>
      </w:pPr>
    </w:p>
    <w:p>
      <w:pPr>
        <w:spacing w:line="480" w:lineRule="exact"/>
        <w:rPr>
          <w:rFonts w:ascii="仿宋_GB2312" w:eastAsia="仿宋_GB2312"/>
          <w:color w:val="000000"/>
          <w:sz w:val="32"/>
        </w:rPr>
      </w:pPr>
    </w:p>
    <w:p>
      <w:pPr>
        <w:spacing w:line="480" w:lineRule="exact"/>
        <w:rPr>
          <w:rFonts w:ascii="仿宋_GB2312" w:eastAsia="仿宋_GB2312"/>
          <w:color w:val="000000"/>
          <w:sz w:val="32"/>
        </w:rPr>
      </w:pPr>
      <w:r>
        <w:rPr>
          <w:rFonts w:ascii="仿宋_GB2312" w:eastAsia="仿宋_GB2312"/>
          <w:color w:val="000000"/>
          <w:sz w:val="32"/>
        </w:rPr>
        <w:br w:type="page"/>
      </w:r>
      <w:r>
        <w:rPr>
          <w:rFonts w:hint="eastAsia" w:ascii="仿宋_GB2312" w:eastAsia="仿宋_GB2312"/>
          <w:color w:val="000000"/>
          <w:sz w:val="28"/>
          <w:szCs w:val="28"/>
        </w:rPr>
        <w:t>附表1：</w:t>
      </w:r>
    </w:p>
    <w:p>
      <w:pPr>
        <w:jc w:val="center"/>
        <w:rPr>
          <w:rFonts w:eastAsia="黑体"/>
          <w:b/>
          <w:color w:val="000000"/>
          <w:sz w:val="28"/>
          <w:szCs w:val="28"/>
        </w:rPr>
      </w:pPr>
      <w:r>
        <w:rPr>
          <w:rFonts w:hint="eastAsia" w:ascii="新宋体" w:hAnsi="新宋体" w:eastAsia="新宋体"/>
          <w:b/>
          <w:sz w:val="28"/>
          <w:szCs w:val="28"/>
        </w:rPr>
        <w:t>广西先进监理企业考评表</w:t>
      </w:r>
    </w:p>
    <w:tbl>
      <w:tblPr>
        <w:tblStyle w:val="5"/>
        <w:tblW w:w="1113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494"/>
        <w:gridCol w:w="5796"/>
        <w:gridCol w:w="705"/>
        <w:gridCol w:w="79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考评</w:t>
            </w:r>
          </w:p>
          <w:p>
            <w:pPr>
              <w:jc w:val="center"/>
              <w:rPr>
                <w:rFonts w:ascii="宋体" w:hAnsi="宋体" w:cs="宋体"/>
                <w:color w:val="000000"/>
                <w:szCs w:val="21"/>
              </w:rPr>
            </w:pPr>
            <w:r>
              <w:rPr>
                <w:rFonts w:hint="eastAsia" w:ascii="宋体" w:hAnsi="宋体" w:cs="宋体"/>
                <w:color w:val="000000"/>
                <w:szCs w:val="21"/>
              </w:rPr>
              <w:t>内容</w:t>
            </w:r>
          </w:p>
        </w:tc>
        <w:tc>
          <w:tcPr>
            <w:tcW w:w="72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考评标准</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 w:val="18"/>
                <w:szCs w:val="18"/>
              </w:rPr>
              <w:t>标准分</w:t>
            </w:r>
          </w:p>
        </w:tc>
        <w:tc>
          <w:tcPr>
            <w:tcW w:w="795" w:type="dxa"/>
            <w:tcBorders>
              <w:top w:val="single" w:color="auto" w:sz="4" w:space="0"/>
              <w:left w:val="single" w:color="auto" w:sz="4" w:space="0"/>
              <w:bottom w:val="single" w:color="auto" w:sz="4" w:space="0"/>
              <w:right w:val="single" w:color="auto" w:sz="4" w:space="0"/>
            </w:tcBorders>
            <w:vAlign w:val="center"/>
          </w:tcPr>
          <w:p>
            <w:pPr>
              <w:ind w:left="90" w:hanging="90" w:hangingChars="50"/>
              <w:jc w:val="center"/>
              <w:rPr>
                <w:rFonts w:ascii="宋体" w:hAnsi="宋体" w:cs="宋体"/>
                <w:color w:val="000000"/>
                <w:szCs w:val="21"/>
              </w:rPr>
            </w:pPr>
            <w:r>
              <w:rPr>
                <w:rFonts w:hint="eastAsia" w:ascii="宋体" w:hAnsi="宋体" w:cs="宋体"/>
                <w:color w:val="000000"/>
                <w:sz w:val="18"/>
                <w:szCs w:val="18"/>
              </w:rPr>
              <w:t>实得分</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005" w:type="dxa"/>
            <w:tcBorders>
              <w:top w:val="single" w:color="auto" w:sz="4" w:space="0"/>
              <w:left w:val="single" w:color="auto" w:sz="4" w:space="0"/>
              <w:right w:val="single" w:color="auto" w:sz="4" w:space="0"/>
            </w:tcBorders>
            <w:vAlign w:val="center"/>
          </w:tcPr>
          <w:p>
            <w:pPr>
              <w:ind w:left="210" w:hanging="210" w:hangingChars="100"/>
              <w:rPr>
                <w:rFonts w:ascii="宋体" w:hAnsi="宋体" w:cs="宋体"/>
                <w:color w:val="000000"/>
                <w:szCs w:val="21"/>
              </w:rPr>
            </w:pPr>
            <w:r>
              <w:rPr>
                <w:rFonts w:hint="eastAsia" w:ascii="宋体" w:hAnsi="宋体" w:cs="宋体"/>
                <w:color w:val="000000"/>
                <w:szCs w:val="21"/>
              </w:rPr>
              <w:t>一、市场经营情况</w:t>
            </w:r>
          </w:p>
        </w:tc>
        <w:tc>
          <w:tcPr>
            <w:tcW w:w="7290" w:type="dxa"/>
            <w:gridSpan w:val="2"/>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近两年监理企业连续完成营业收入和人均产值满足《评选办法》相关要求。考评分按资质等级进行考评（</w:t>
            </w:r>
            <w:r>
              <w:rPr>
                <w:rFonts w:hint="eastAsia" w:ascii="宋体" w:hAnsi="宋体" w:cs="宋体"/>
                <w:b/>
                <w:color w:val="000000"/>
                <w:szCs w:val="21"/>
              </w:rPr>
              <w:t>甲级企业：营业收入≥1000万元得6分；营业收入≥3000万元得7分；营业收入≥5000万元得8分；营业收入≥7000万元得9分；营业收入≥9000万元得10分。乙级企业：营业收入≥600万元得6分；营业收入≥800万元得7分；营业收入≥1000万元得8分；营业收入≥1200万元得9分；营业收入≥1400万元得10分。）</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6-10</w:t>
            </w:r>
          </w:p>
        </w:tc>
        <w:tc>
          <w:tcPr>
            <w:tcW w:w="79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p>
        </w:tc>
        <w:tc>
          <w:tcPr>
            <w:tcW w:w="1335" w:type="dxa"/>
            <w:tcBorders>
              <w:top w:val="single" w:color="auto" w:sz="4" w:space="0"/>
              <w:left w:val="single" w:color="auto" w:sz="4" w:space="0"/>
              <w:right w:val="single" w:color="auto" w:sz="4" w:space="0"/>
            </w:tcBorders>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二、年度施工现场综合考评</w:t>
            </w:r>
          </w:p>
        </w:tc>
        <w:tc>
          <w:tcPr>
            <w:tcW w:w="729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szCs w:val="21"/>
              </w:rPr>
            </w:pPr>
            <w:r>
              <w:rPr>
                <w:rFonts w:hint="eastAsia" w:ascii="宋体" w:hAnsi="宋体" w:cs="宋体"/>
                <w:color w:val="000000"/>
                <w:szCs w:val="21"/>
              </w:rPr>
              <w:t>现场考评中（按年度内受检项目扣分累加后加权平均）的扣分值为0时，得到标准分20，扣分值每扣1分，实得分按标准分相应减1分，扣完为止。</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r>
              <w:rPr>
                <w:rFonts w:hint="eastAsia" w:ascii="宋体" w:hAnsi="宋体" w:cs="宋体"/>
                <w:color w:val="000000"/>
                <w:szCs w:val="21"/>
              </w:rPr>
              <w:t>参评单位项目受检考评由广西建设监理协会实施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trPr>
        <w:tc>
          <w:tcPr>
            <w:tcW w:w="1005"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三、公司业绩和信用</w:t>
            </w:r>
          </w:p>
        </w:tc>
        <w:tc>
          <w:tcPr>
            <w:tcW w:w="1494"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受到处罚</w:t>
            </w:r>
          </w:p>
        </w:tc>
        <w:tc>
          <w:tcPr>
            <w:tcW w:w="5796"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cs="宋体"/>
                <w:b/>
                <w:color w:val="000000"/>
                <w:szCs w:val="21"/>
              </w:rPr>
            </w:pPr>
            <w:r>
              <w:rPr>
                <w:rFonts w:hint="eastAsia" w:ascii="宋体" w:hAnsi="宋体" w:cs="宋体"/>
                <w:color w:val="000000"/>
                <w:szCs w:val="21"/>
              </w:rPr>
              <w:t>1、考评年度内受到区建设行政主管部门挂牌督办、通报批评、责令整改、停工整改的任一情形的（不含暂停投标资格情形，同一项目同时受上述不同处理时不重复扣分），每次扣3分。</w:t>
            </w:r>
          </w:p>
          <w:p>
            <w:pPr>
              <w:ind w:firstLine="210" w:firstLineChars="100"/>
              <w:jc w:val="left"/>
              <w:rPr>
                <w:rFonts w:ascii="宋体" w:hAnsi="宋体" w:cs="宋体"/>
                <w:color w:val="000000"/>
                <w:szCs w:val="21"/>
              </w:rPr>
            </w:pPr>
            <w:r>
              <w:rPr>
                <w:rFonts w:hint="eastAsia" w:ascii="宋体" w:hAnsi="宋体" w:cs="宋体"/>
                <w:color w:val="000000"/>
                <w:szCs w:val="21"/>
              </w:rPr>
              <w:t>2、考评年度内受到广西建设监理行业自律委员会书面警告的，每次扣3分。</w:t>
            </w:r>
          </w:p>
        </w:tc>
        <w:tc>
          <w:tcPr>
            <w:tcW w:w="705"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 w:val="18"/>
                <w:szCs w:val="18"/>
              </w:rPr>
              <w:t>50</w:t>
            </w:r>
          </w:p>
        </w:tc>
        <w:tc>
          <w:tcPr>
            <w:tcW w:w="795"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p>
        </w:tc>
        <w:tc>
          <w:tcPr>
            <w:tcW w:w="1335" w:type="dxa"/>
            <w:vMerge w:val="restart"/>
            <w:tcBorders>
              <w:top w:val="single" w:color="auto" w:sz="4" w:space="0"/>
              <w:left w:val="single" w:color="auto" w:sz="4" w:space="0"/>
              <w:right w:val="single" w:color="auto" w:sz="4" w:space="0"/>
            </w:tcBorders>
            <w:vAlign w:val="center"/>
          </w:tcPr>
          <w:p>
            <w:pPr>
              <w:jc w:val="left"/>
              <w:rPr>
                <w:rFonts w:ascii="宋体" w:hAnsi="宋体" w:cs="宋体"/>
                <w:b/>
                <w:color w:val="000000"/>
                <w:szCs w:val="21"/>
              </w:rPr>
            </w:pPr>
            <w:r>
              <w:rPr>
                <w:rFonts w:hint="eastAsia" w:ascii="宋体" w:hAnsi="宋体" w:cs="宋体"/>
                <w:b/>
                <w:color w:val="000000"/>
                <w:szCs w:val="21"/>
              </w:rPr>
              <w:t>（30分为基准分，计算公示为30±累计后分数，可以现负分及超分，封顶70分）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1005"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获得荣誉</w:t>
            </w:r>
          </w:p>
        </w:tc>
        <w:tc>
          <w:tcPr>
            <w:tcW w:w="5796" w:type="dxa"/>
            <w:tcBorders>
              <w:top w:val="single" w:color="auto" w:sz="4" w:space="0"/>
              <w:left w:val="single" w:color="auto" w:sz="4" w:space="0"/>
              <w:bottom w:val="single" w:color="auto" w:sz="4" w:space="0"/>
              <w:right w:val="single" w:color="auto" w:sz="4" w:space="0"/>
            </w:tcBorders>
            <w:vAlign w:val="center"/>
          </w:tcPr>
          <w:p>
            <w:pPr>
              <w:ind w:left="74"/>
              <w:rPr>
                <w:rFonts w:ascii="宋体" w:hAnsi="宋体" w:cs="宋体"/>
                <w:color w:val="000000"/>
                <w:szCs w:val="21"/>
              </w:rPr>
            </w:pPr>
            <w:r>
              <w:rPr>
                <w:rFonts w:hint="eastAsia" w:ascii="宋体" w:hAnsi="宋体" w:cs="宋体"/>
                <w:color w:val="000000"/>
                <w:szCs w:val="21"/>
              </w:rPr>
              <w:t>考评年度内在广西区内监理项目，</w:t>
            </w:r>
            <w:r>
              <w:rPr>
                <w:rFonts w:hint="eastAsia"/>
                <w:color w:val="000000"/>
                <w:szCs w:val="21"/>
              </w:rPr>
              <w:t>荣获优质工程奖：国家级每项得10分、省部级每项得5分，地市级每项得3分；荣获安全文明工地：国家级每项得3分，省部级每项得2分，地市级每项得1分且报送不得超过10项，封顶为10分。（</w:t>
            </w:r>
            <w:r>
              <w:rPr>
                <w:rFonts w:hint="eastAsia" w:ascii="宋体" w:hAnsi="宋体" w:cs="宋体"/>
                <w:color w:val="000000"/>
                <w:szCs w:val="21"/>
              </w:rPr>
              <w:t>考评年度内同一项目不同标段获同一奖项只计分一次；同一项目获不同奖项时只计得分最高的一项，不重复计分</w:t>
            </w:r>
            <w:r>
              <w:rPr>
                <w:rFonts w:hint="eastAsia"/>
                <w:color w:val="000000"/>
                <w:sz w:val="24"/>
              </w:rPr>
              <w:t>）</w:t>
            </w:r>
          </w:p>
        </w:tc>
        <w:tc>
          <w:tcPr>
            <w:tcW w:w="705"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795"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335"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trPr>
        <w:tc>
          <w:tcPr>
            <w:tcW w:w="100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四、会员表现</w:t>
            </w:r>
          </w:p>
        </w:tc>
        <w:tc>
          <w:tcPr>
            <w:tcW w:w="7290" w:type="dxa"/>
            <w:gridSpan w:val="2"/>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 xml:space="preserve">1、未按时参加协会组织的各种会议每次扣1分（以签到表为准）；    </w:t>
            </w:r>
          </w:p>
          <w:p>
            <w:pPr>
              <w:rPr>
                <w:rFonts w:ascii="宋体" w:hAnsi="宋体" w:cs="宋体"/>
                <w:color w:val="000000"/>
                <w:szCs w:val="21"/>
              </w:rPr>
            </w:pPr>
            <w:r>
              <w:rPr>
                <w:rFonts w:hint="eastAsia" w:ascii="宋体" w:hAnsi="宋体" w:cs="宋体"/>
                <w:color w:val="000000"/>
                <w:szCs w:val="21"/>
              </w:rPr>
              <w:t>2、年度内不按协会章程规定及时缴纳会费的扣5分。</w:t>
            </w:r>
          </w:p>
          <w:p>
            <w:pPr>
              <w:rPr>
                <w:rFonts w:ascii="宋体" w:hAnsi="宋体" w:cs="宋体"/>
                <w:color w:val="000000"/>
                <w:szCs w:val="21"/>
              </w:rPr>
            </w:pPr>
            <w:r>
              <w:rPr>
                <w:rFonts w:hint="eastAsia" w:ascii="宋体" w:hAnsi="宋体" w:cs="宋体"/>
                <w:color w:val="000000"/>
                <w:szCs w:val="21"/>
              </w:rPr>
              <w:t>3、未对协会下发的文件、通知、征求意见等按要求及时反馈，每发生1次扣1分。</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p>
          <w:p>
            <w:pPr>
              <w:jc w:val="center"/>
              <w:rPr>
                <w:rFonts w:ascii="宋体" w:hAnsi="宋体" w:cs="宋体"/>
                <w:color w:val="000000"/>
                <w:szCs w:val="21"/>
              </w:rPr>
            </w:pPr>
            <w:r>
              <w:rPr>
                <w:rFonts w:hint="eastAsia" w:ascii="宋体" w:hAnsi="宋体" w:cs="宋体"/>
                <w:color w:val="000000"/>
                <w:szCs w:val="21"/>
              </w:rPr>
              <w:t>5</w:t>
            </w:r>
          </w:p>
          <w:p>
            <w:pPr>
              <w:jc w:val="center"/>
              <w:rPr>
                <w:rFonts w:ascii="宋体" w:hAnsi="宋体" w:cs="宋体"/>
                <w:color w:val="000000"/>
                <w:szCs w:val="21"/>
              </w:rPr>
            </w:pPr>
          </w:p>
        </w:tc>
        <w:tc>
          <w:tcPr>
            <w:tcW w:w="79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p>
        </w:tc>
        <w:tc>
          <w:tcPr>
            <w:tcW w:w="1335" w:type="dxa"/>
            <w:tcBorders>
              <w:top w:val="single" w:color="auto" w:sz="4" w:space="0"/>
              <w:left w:val="single" w:color="auto" w:sz="4" w:space="0"/>
              <w:right w:val="single" w:color="auto" w:sz="4" w:space="0"/>
            </w:tcBorders>
            <w:vAlign w:val="center"/>
          </w:tcPr>
          <w:p>
            <w:pPr>
              <w:jc w:val="left"/>
              <w:rPr>
                <w:rFonts w:ascii="宋体" w:hAnsi="宋体" w:cs="宋体"/>
                <w:color w:val="000000"/>
                <w:szCs w:val="21"/>
              </w:rPr>
            </w:pPr>
            <w:r>
              <w:rPr>
                <w:rFonts w:hint="eastAsia" w:ascii="宋体" w:hAnsi="宋体" w:cs="宋体"/>
                <w:color w:val="000000"/>
                <w:szCs w:val="21"/>
              </w:rPr>
              <w:t>（累计后可以现负分）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0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五、对协会工作的贡献</w:t>
            </w:r>
          </w:p>
        </w:tc>
        <w:tc>
          <w:tcPr>
            <w:tcW w:w="7290" w:type="dxa"/>
            <w:gridSpan w:val="2"/>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对协会会议活动等提供支持和帮助每一次加2分。</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10</w:t>
            </w:r>
          </w:p>
        </w:tc>
        <w:tc>
          <w:tcPr>
            <w:tcW w:w="79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p>
        </w:tc>
        <w:tc>
          <w:tcPr>
            <w:tcW w:w="1335" w:type="dxa"/>
            <w:tcBorders>
              <w:top w:val="single" w:color="auto" w:sz="4" w:space="0"/>
              <w:left w:val="single" w:color="auto" w:sz="4" w:space="0"/>
              <w:right w:val="single" w:color="auto" w:sz="4" w:space="0"/>
            </w:tcBorders>
            <w:vAlign w:val="center"/>
          </w:tcPr>
          <w:p>
            <w:pPr>
              <w:jc w:val="left"/>
              <w:rPr>
                <w:rFonts w:ascii="宋体" w:hAnsi="宋体" w:cs="宋体"/>
                <w:color w:val="000000"/>
                <w:szCs w:val="21"/>
              </w:rPr>
            </w:pPr>
            <w:r>
              <w:rPr>
                <w:rFonts w:hint="eastAsia" w:ascii="宋体" w:hAnsi="宋体" w:cs="宋体"/>
                <w:color w:val="000000"/>
                <w:szCs w:val="21"/>
              </w:rPr>
              <w:t>（封顶</w:t>
            </w:r>
          </w:p>
          <w:p>
            <w:pPr>
              <w:ind w:firstLine="210" w:firstLineChars="100"/>
              <w:jc w:val="left"/>
              <w:rPr>
                <w:rFonts w:ascii="宋体" w:hAnsi="宋体" w:cs="宋体"/>
                <w:color w:val="000000"/>
                <w:szCs w:val="21"/>
              </w:rPr>
            </w:pPr>
            <w:r>
              <w:rPr>
                <w:rFonts w:hint="eastAsia" w:ascii="宋体" w:hAnsi="宋体" w:cs="宋体"/>
                <w:color w:val="00000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100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六、其它</w:t>
            </w:r>
          </w:p>
        </w:tc>
        <w:tc>
          <w:tcPr>
            <w:tcW w:w="7290" w:type="dxa"/>
            <w:gridSpan w:val="2"/>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1、获得ISO9001（GB/T19001）质量管理体系、ISO14001(GB/T24001)环境管理体系、OHSAS18001(GB/T28001)职业健康安全管理体系认证且在有效期内的，每项得1分，满分3分。</w:t>
            </w:r>
          </w:p>
          <w:p>
            <w:pPr>
              <w:rPr>
                <w:rFonts w:ascii="宋体" w:hAnsi="宋体" w:cs="宋体"/>
                <w:color w:val="000000"/>
                <w:szCs w:val="21"/>
              </w:rPr>
            </w:pPr>
            <w:r>
              <w:rPr>
                <w:rFonts w:hint="eastAsia" w:ascii="宋体" w:hAnsi="宋体" w:cs="宋体"/>
                <w:color w:val="000000"/>
                <w:szCs w:val="21"/>
              </w:rPr>
              <w:t>2、考评年度内配合广西区（市）级建设行政主管或民政部门完成各项抢险、救灾、扶贫、重大活动保障等任务获通报表扬的得2分。</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795" w:type="dxa"/>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p>
        </w:tc>
        <w:tc>
          <w:tcPr>
            <w:tcW w:w="1335" w:type="dxa"/>
            <w:tcBorders>
              <w:top w:val="single" w:color="auto" w:sz="4" w:space="0"/>
              <w:left w:val="single" w:color="auto" w:sz="4" w:space="0"/>
              <w:right w:val="single" w:color="auto" w:sz="4" w:space="0"/>
            </w:tcBorders>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829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合计</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100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（封顶120分）</w:t>
            </w:r>
          </w:p>
        </w:tc>
      </w:tr>
    </w:tbl>
    <w:p>
      <w:pPr>
        <w:rPr>
          <w:rFonts w:ascii="宋体" w:hAnsi="宋体" w:cs="宋体"/>
          <w:szCs w:val="21"/>
        </w:rPr>
      </w:pPr>
    </w:p>
    <w:p/>
    <w:sectPr>
      <w:headerReference r:id="rId3" w:type="default"/>
      <w:footerReference r:id="rId4" w:type="default"/>
      <w:pgSz w:w="11906" w:h="16838"/>
      <w:pgMar w:top="85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3B4C"/>
    <w:rsid w:val="0000507A"/>
    <w:rsid w:val="00025A94"/>
    <w:rsid w:val="00293A94"/>
    <w:rsid w:val="003E68DB"/>
    <w:rsid w:val="004579E1"/>
    <w:rsid w:val="00493B4C"/>
    <w:rsid w:val="005120D3"/>
    <w:rsid w:val="0056701D"/>
    <w:rsid w:val="00693E8F"/>
    <w:rsid w:val="006C1A70"/>
    <w:rsid w:val="0086698D"/>
    <w:rsid w:val="008E0153"/>
    <w:rsid w:val="00B848C9"/>
    <w:rsid w:val="00D64421"/>
    <w:rsid w:val="00DC0B0B"/>
    <w:rsid w:val="00E10CF6"/>
    <w:rsid w:val="00E16A5A"/>
    <w:rsid w:val="00EB7FCE"/>
    <w:rsid w:val="00F75372"/>
    <w:rsid w:val="00FE5F12"/>
    <w:rsid w:val="4D973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宋体" w:cs="Times New Roman"/>
      <w:sz w:val="18"/>
      <w:szCs w:val="18"/>
    </w:rPr>
  </w:style>
  <w:style w:type="character" w:customStyle="1" w:styleId="8">
    <w:name w:val="页脚 Char"/>
    <w:basedOn w:val="6"/>
    <w:link w:val="3"/>
    <w:uiPriority w:val="0"/>
    <w:rPr>
      <w:rFonts w:ascii="Times New Roman" w:hAnsi="Times New Roman" w:eastAsia="宋体" w:cs="Times New Roman"/>
      <w:sz w:val="18"/>
      <w:szCs w:val="18"/>
    </w:rPr>
  </w:style>
  <w:style w:type="character" w:customStyle="1" w:styleId="9">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379</Words>
  <Characters>2164</Characters>
  <Lines>18</Lines>
  <Paragraphs>5</Paragraphs>
  <TotalTime>3</TotalTime>
  <ScaleCrop>false</ScaleCrop>
  <LinksUpToDate>false</LinksUpToDate>
  <CharactersWithSpaces>2538</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2020-11-17T01:32:00Z</dcterms:created>
  <dc:creator>微软用户</dc:creator>
  <cp:lastModifiedBy>小布点</cp:lastModifiedBy>
  <cp:lastPrinted>2020-09-02T07:33:00Z</cp:lastPrinted>
  <dcterms:modified xsi:type="dcterms:W3CDTF">2020-12-14T02:00:53Z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